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3DD67741"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EC0026">
        <w:rPr>
          <w:rFonts w:asciiTheme="minorHAnsi" w:hAnsiTheme="minorHAnsi" w:cstheme="minorHAnsi"/>
          <w:color w:val="000000"/>
        </w:rPr>
        <w:t>, Bid Summary Cell C10</w:t>
      </w:r>
      <w:r w:rsidRPr="006741C0">
        <w:rPr>
          <w:rFonts w:asciiTheme="minorHAnsi" w:hAnsiTheme="minorHAnsi" w:cstheme="minorHAnsi"/>
          <w:color w:val="000000"/>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20F05666"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18DB"/>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0026"/>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709</Words>
  <Characters>4772</Characters>
  <Application>Microsoft Office Word</Application>
  <DocSecurity>0</DocSecurity>
  <Lines>39</Lines>
  <Paragraphs>10</Paragraphs>
  <ScaleCrop>false</ScaleCrop>
  <Company>State of Indiana</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Cohen, Robert</cp:lastModifiedBy>
  <cp:revision>17</cp:revision>
  <cp:lastPrinted>2015-04-22T14:59:00Z</cp:lastPrinted>
  <dcterms:created xsi:type="dcterms:W3CDTF">2023-02-16T01:33:00Z</dcterms:created>
  <dcterms:modified xsi:type="dcterms:W3CDTF">2025-08-21T13:10:00Z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